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6A86" w14:textId="4D3E350A" w:rsidR="00C07059" w:rsidRPr="00EC61F9" w:rsidRDefault="00C07059" w:rsidP="00C07059">
      <w:pPr>
        <w:pStyle w:val="PargrafodaLista"/>
        <w:numPr>
          <w:ilvl w:val="0"/>
          <w:numId w:val="2"/>
        </w:numPr>
        <w:spacing w:after="0" w:line="360" w:lineRule="auto"/>
        <w:ind w:right="-143"/>
        <w:jc w:val="center"/>
        <w:rPr>
          <w:rStyle w:val="Tipodeletrapredefinidodopargrafo1"/>
          <w:rFonts w:ascii="Source Sans Pro" w:hAnsi="Source Sans Pro"/>
          <w:b/>
        </w:rPr>
      </w:pPr>
      <w:r w:rsidRPr="00EC61F9">
        <w:rPr>
          <w:rStyle w:val="Tipodeletrapredefinidodopargrafo1"/>
          <w:rFonts w:ascii="Source Sans Pro" w:hAnsi="Source Sans Pro"/>
          <w:b/>
        </w:rPr>
        <w:t>CAPÍTULO 7- PIER PÚBLICO DE GRANÉIS LÍQUIDOS – PPGL</w:t>
      </w:r>
    </w:p>
    <w:p w14:paraId="7719752A" w14:textId="77777777" w:rsidR="00C07059" w:rsidRPr="00EC61F9" w:rsidRDefault="00C07059" w:rsidP="00C07059">
      <w:pPr>
        <w:spacing w:after="0" w:line="240" w:lineRule="auto"/>
        <w:ind w:right="-142"/>
        <w:jc w:val="center"/>
        <w:rPr>
          <w:rFonts w:ascii="Source Sans Pro" w:hAnsi="Source Sans Pro"/>
        </w:rPr>
      </w:pPr>
    </w:p>
    <w:p w14:paraId="271F2E35" w14:textId="4795417C" w:rsidR="0052145A" w:rsidRPr="00EC61F9" w:rsidRDefault="00C07059" w:rsidP="00EC61F9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 xml:space="preserve">Conceder Atracação Preferencial nos berços 141 (externo) e 142 (interno) aos navios que vierem operar com granéis líquidos no Píer Público de Granéis Líquidos (PPGL) </w:t>
      </w:r>
      <w:bookmarkStart w:id="0" w:name="_Hlk215672766"/>
      <w:r w:rsidRPr="00EC61F9">
        <w:rPr>
          <w:rStyle w:val="Tipodeletrapredefinidodopargrafo1"/>
          <w:rFonts w:ascii="Source Sans Pro" w:hAnsi="Source Sans Pro"/>
        </w:rPr>
        <w:t>por terminais que não possu</w:t>
      </w:r>
      <w:r w:rsidR="003B569B" w:rsidRPr="00EC61F9">
        <w:rPr>
          <w:rStyle w:val="Tipodeletrapredefinidodopargrafo1"/>
          <w:rFonts w:ascii="Source Sans Pro" w:hAnsi="Source Sans Pro"/>
        </w:rPr>
        <w:t>a</w:t>
      </w:r>
      <w:r w:rsidRPr="00EC61F9">
        <w:rPr>
          <w:rStyle w:val="Tipodeletrapredefinidodopargrafo1"/>
          <w:rFonts w:ascii="Source Sans Pro" w:hAnsi="Source Sans Pro"/>
        </w:rPr>
        <w:t>m berços de uso privado e exclusivo</w:t>
      </w:r>
      <w:bookmarkEnd w:id="0"/>
      <w:r w:rsidRPr="00EC61F9">
        <w:rPr>
          <w:rStyle w:val="Tipodeletrapredefinidodopargrafo1"/>
          <w:rFonts w:ascii="Source Sans Pro" w:hAnsi="Source Sans Pro"/>
        </w:rPr>
        <w:t>, de acordo com o Line up específico</w:t>
      </w:r>
      <w:r w:rsidR="0052145A" w:rsidRPr="00EC61F9">
        <w:rPr>
          <w:rStyle w:val="Tipodeletrapredefinidodopargrafo1"/>
          <w:rFonts w:ascii="Source Sans Pro" w:hAnsi="Source Sans Pro"/>
        </w:rPr>
        <w:t>.</w:t>
      </w:r>
    </w:p>
    <w:p w14:paraId="2B4EDAF9" w14:textId="2D19A370" w:rsidR="0052145A" w:rsidRPr="00EC61F9" w:rsidRDefault="0052145A" w:rsidP="00EC61F9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 xml:space="preserve">O </w:t>
      </w:r>
      <w:r w:rsidR="00FB170D" w:rsidRPr="00EC61F9">
        <w:rPr>
          <w:rStyle w:val="Tipodeletrapredefinidodopargrafo1"/>
          <w:rFonts w:ascii="Source Sans Pro" w:hAnsi="Source Sans Pro"/>
        </w:rPr>
        <w:t>Anúncio deverá ser realizado de forma única e definitiva</w:t>
      </w:r>
      <w:r w:rsidRPr="00EC61F9">
        <w:rPr>
          <w:rStyle w:val="Tipodeletrapredefinidodopargrafo1"/>
          <w:rFonts w:ascii="Source Sans Pro" w:hAnsi="Source Sans Pro"/>
        </w:rPr>
        <w:t xml:space="preserve">, devendo a Agência </w:t>
      </w:r>
      <w:r w:rsidR="00AD4AE4" w:rsidRPr="00EC61F9">
        <w:rPr>
          <w:rStyle w:val="Tipodeletrapredefinidodopargrafo1"/>
          <w:rFonts w:ascii="Source Sans Pro" w:hAnsi="Source Sans Pro"/>
        </w:rPr>
        <w:t xml:space="preserve">Marítima </w:t>
      </w:r>
      <w:r w:rsidRPr="00EC61F9">
        <w:rPr>
          <w:rStyle w:val="Tipodeletrapredefinidodopargrafo1"/>
          <w:rFonts w:ascii="Source Sans Pro" w:hAnsi="Source Sans Pro"/>
        </w:rPr>
        <w:t>anunciar o navio ao Berço definitivo de início – PPGL (141 e 142) ou Berços Privados (143 e 144)</w:t>
      </w:r>
      <w:r w:rsidR="00FB170D" w:rsidRPr="00EC61F9">
        <w:rPr>
          <w:rStyle w:val="Tipodeletrapredefinidodopargrafo1"/>
          <w:rFonts w:ascii="Source Sans Pro" w:hAnsi="Source Sans Pro"/>
        </w:rPr>
        <w:t>, não podendo sofrer alterações de berços pela Agência Marítima após o anúncio inicial.</w:t>
      </w:r>
    </w:p>
    <w:p w14:paraId="4E13718C" w14:textId="50B1FA1D" w:rsidR="00C07059" w:rsidRPr="00EC61F9" w:rsidRDefault="00C07059" w:rsidP="00EC61F9">
      <w:pPr>
        <w:pStyle w:val="PargrafodaLista"/>
        <w:numPr>
          <w:ilvl w:val="1"/>
          <w:numId w:val="2"/>
        </w:numPr>
        <w:spacing w:before="240" w:after="0" w:line="240" w:lineRule="auto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 xml:space="preserve">Os berços 141 e 142 poderão receber navios com, no máximo, 190 metros de comprimento. </w:t>
      </w:r>
    </w:p>
    <w:p w14:paraId="0CE396D2" w14:textId="5AF7F388" w:rsidR="00C07059" w:rsidRPr="00EC61F9" w:rsidRDefault="00C07059" w:rsidP="00EC61F9">
      <w:pPr>
        <w:pStyle w:val="PargrafodaLista"/>
        <w:numPr>
          <w:ilvl w:val="1"/>
          <w:numId w:val="2"/>
        </w:numPr>
        <w:spacing w:before="240" w:after="0" w:line="240" w:lineRule="auto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>No berço 141, terão prioridade os navios que vierem a operar com granéis líquidos derivados de petróleo e álcool.</w:t>
      </w:r>
    </w:p>
    <w:p w14:paraId="185406E0" w14:textId="77777777" w:rsidR="00C07059" w:rsidRPr="00EC61F9" w:rsidRDefault="00C07059" w:rsidP="00EC61F9">
      <w:pPr>
        <w:pStyle w:val="PargrafodaLista"/>
        <w:numPr>
          <w:ilvl w:val="2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>As atracações/operações se darão na proporção 2x1, ou seja, dois navios com movimentação de derivados de petróleo e um navio com movimentação de álcool.</w:t>
      </w:r>
    </w:p>
    <w:p w14:paraId="07C2C789" w14:textId="4585C381" w:rsidR="00C07059" w:rsidRPr="00EC61F9" w:rsidRDefault="00C07059" w:rsidP="00EC61F9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>No berço 142, a ordem de atracação se dará pela sequência de chegada dos navios em porto</w:t>
      </w:r>
      <w:r w:rsidR="00FB170D" w:rsidRPr="00EC61F9">
        <w:rPr>
          <w:rStyle w:val="Tipodeletrapredefinidodopargrafo1"/>
          <w:rFonts w:ascii="Source Sans Pro" w:hAnsi="Source Sans Pro"/>
        </w:rPr>
        <w:t>, conforme anúncio ao PPGL.</w:t>
      </w:r>
    </w:p>
    <w:p w14:paraId="3ECFB066" w14:textId="4DD9282E" w:rsidR="00C07059" w:rsidRPr="00EC61F9" w:rsidRDefault="00C07059" w:rsidP="00EC61F9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 xml:space="preserve">Aos navios </w:t>
      </w:r>
      <w:r w:rsidR="00FB170D" w:rsidRPr="00EC61F9">
        <w:rPr>
          <w:rStyle w:val="Tipodeletrapredefinidodopargrafo1"/>
          <w:rFonts w:ascii="Source Sans Pro" w:hAnsi="Source Sans Pro"/>
        </w:rPr>
        <w:t>que não possuam atracação preferencial</w:t>
      </w:r>
      <w:r w:rsidRPr="00EC61F9">
        <w:rPr>
          <w:rStyle w:val="Tipodeletrapredefinidodopargrafo1"/>
          <w:rFonts w:ascii="Source Sans Pro" w:hAnsi="Source Sans Pro"/>
        </w:rPr>
        <w:t>, s</w:t>
      </w:r>
      <w:r w:rsidRPr="00EC61F9">
        <w:rPr>
          <w:rStyle w:val="Tipodeletrapredefinidodopargrafo1"/>
          <w:rFonts w:ascii="Source Sans Pro" w:hAnsi="Source Sans Pro" w:cs="Source Sans Pro"/>
        </w:rPr>
        <w:t>ó</w:t>
      </w:r>
      <w:r w:rsidRPr="00EC61F9">
        <w:rPr>
          <w:rStyle w:val="Tipodeletrapredefinidodopargrafo1"/>
          <w:rFonts w:ascii="Source Sans Pro" w:hAnsi="Source Sans Pro"/>
        </w:rPr>
        <w:t xml:space="preserve"> poder</w:t>
      </w:r>
      <w:r w:rsidRPr="00EC61F9">
        <w:rPr>
          <w:rStyle w:val="Tipodeletrapredefinidodopargrafo1"/>
          <w:rFonts w:ascii="Source Sans Pro" w:hAnsi="Source Sans Pro" w:cs="Source Sans Pro"/>
        </w:rPr>
        <w:t>ã</w:t>
      </w:r>
      <w:r w:rsidRPr="00EC61F9">
        <w:rPr>
          <w:rStyle w:val="Tipodeletrapredefinidodopargrafo1"/>
          <w:rFonts w:ascii="Source Sans Pro" w:hAnsi="Source Sans Pro"/>
        </w:rPr>
        <w:t>o ser realizadas opera</w:t>
      </w:r>
      <w:r w:rsidRPr="00EC61F9">
        <w:rPr>
          <w:rStyle w:val="Tipodeletrapredefinidodopargrafo1"/>
          <w:rFonts w:ascii="Source Sans Pro" w:hAnsi="Source Sans Pro" w:cs="Source Sans Pro"/>
        </w:rPr>
        <w:t>çõ</w:t>
      </w:r>
      <w:r w:rsidRPr="00EC61F9">
        <w:rPr>
          <w:rStyle w:val="Tipodeletrapredefinidodopargrafo1"/>
          <w:rFonts w:ascii="Source Sans Pro" w:hAnsi="Source Sans Pro"/>
        </w:rPr>
        <w:t xml:space="preserve">es de descarga nos </w:t>
      </w:r>
      <w:r w:rsidR="00AD4AE4" w:rsidRPr="00EC61F9">
        <w:rPr>
          <w:rStyle w:val="Tipodeletrapredefinidodopargrafo1"/>
          <w:rFonts w:ascii="Source Sans Pro" w:hAnsi="Source Sans Pro"/>
        </w:rPr>
        <w:t>b</w:t>
      </w:r>
      <w:r w:rsidRPr="00EC61F9">
        <w:rPr>
          <w:rStyle w:val="Tipodeletrapredefinidodopargrafo1"/>
          <w:rFonts w:ascii="Source Sans Pro" w:hAnsi="Source Sans Pro"/>
        </w:rPr>
        <w:t>er</w:t>
      </w:r>
      <w:r w:rsidRPr="00EC61F9">
        <w:rPr>
          <w:rStyle w:val="Tipodeletrapredefinidodopargrafo1"/>
          <w:rFonts w:ascii="Source Sans Pro" w:hAnsi="Source Sans Pro" w:cs="Source Sans Pro"/>
        </w:rPr>
        <w:t>ç</w:t>
      </w:r>
      <w:r w:rsidRPr="00EC61F9">
        <w:rPr>
          <w:rStyle w:val="Tipodeletrapredefinidodopargrafo1"/>
          <w:rFonts w:ascii="Source Sans Pro" w:hAnsi="Source Sans Pro"/>
        </w:rPr>
        <w:t>os 141 e 142 desde que todo o volume do navio seja consignado ao Porto de Paranagu</w:t>
      </w:r>
      <w:r w:rsidRPr="00EC61F9">
        <w:rPr>
          <w:rStyle w:val="Tipodeletrapredefinidodopargrafo1"/>
          <w:rFonts w:ascii="Source Sans Pro" w:hAnsi="Source Sans Pro" w:cs="Source Sans Pro"/>
        </w:rPr>
        <w:t>á.</w:t>
      </w:r>
    </w:p>
    <w:p w14:paraId="610C60AE" w14:textId="77777777" w:rsidR="00C07059" w:rsidRPr="00EC61F9" w:rsidRDefault="00C07059" w:rsidP="00EC61F9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>A limpeza e organização dos materiais utilizados no PPGL será de plena responsabilidade do operador ou dos operadores durante a operação e após a conclusão de cada navio.</w:t>
      </w:r>
    </w:p>
    <w:p w14:paraId="35235B75" w14:textId="3DD9A574" w:rsidR="00C07059" w:rsidRPr="00EC61F9" w:rsidRDefault="00C07059" w:rsidP="00FB170D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rPr>
          <w:rStyle w:val="Tipodeletrapredefinidodopargrafo1"/>
          <w:rFonts w:ascii="Source Sans Pro" w:hAnsi="Source Sans Pro"/>
        </w:rPr>
        <w:t>Durante a programação dos navios de granéis líquidos, será estabelecida a janela operacional em que o navio poderá ficar atracado em operação. Tal janela levará em consideração o produto, a quantidade, prancha e o berço em que o navio estará programado para ser operado. Do período disponível para operação serão desconsiderados os tempos expurgáveis. Após concluído o tempo da janela operacional o navio deverá ser desatracado.</w:t>
      </w:r>
    </w:p>
    <w:p w14:paraId="61AD196C" w14:textId="4A38C6ED" w:rsidR="00EB2C4A" w:rsidRPr="00EC61F9" w:rsidRDefault="00EB2C4A" w:rsidP="00FB170D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</w:rPr>
      </w:pPr>
      <w:r w:rsidRPr="00EC61F9">
        <w:lastRenderedPageBreak/>
        <w:t>Aos navios que receberem a determinação de desatracação da Autoridade Portuária conforme item 2.4.8, estes perderão suas preferências e prioridades adquiridas, e mais 3 posições no line-up específico do segmento.</w:t>
      </w:r>
    </w:p>
    <w:p w14:paraId="727C2451" w14:textId="77777777" w:rsidR="00C07059" w:rsidRPr="00EC61F9" w:rsidRDefault="00C07059" w:rsidP="00EC61F9">
      <w:pPr>
        <w:pStyle w:val="PargrafodaLista"/>
        <w:numPr>
          <w:ilvl w:val="1"/>
          <w:numId w:val="2"/>
        </w:numPr>
        <w:spacing w:before="240" w:after="0" w:line="360" w:lineRule="auto"/>
        <w:ind w:left="0" w:firstLine="0"/>
        <w:jc w:val="both"/>
        <w:rPr>
          <w:rStyle w:val="Tipodeletrapredefinidodopargrafo1"/>
          <w:rFonts w:ascii="Source Sans Pro" w:hAnsi="Source Sans Pro"/>
          <w:b/>
        </w:rPr>
      </w:pPr>
      <w:r w:rsidRPr="00EC61F9">
        <w:rPr>
          <w:rStyle w:val="Tipodeletrapredefinidodopargrafo1"/>
          <w:rFonts w:ascii="Source Sans Pro" w:hAnsi="Source Sans Pro"/>
          <w:b/>
        </w:rPr>
        <w:t xml:space="preserve">PRANCHAS EXIGIDAS   </w:t>
      </w:r>
    </w:p>
    <w:tbl>
      <w:tblPr>
        <w:tblW w:w="88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6"/>
        <w:gridCol w:w="3267"/>
      </w:tblGrid>
      <w:tr w:rsidR="00EC61F9" w:rsidRPr="00EC61F9" w14:paraId="2FB0DB15" w14:textId="77777777" w:rsidTr="00B54C8D">
        <w:trPr>
          <w:trHeight w:val="300"/>
          <w:jc w:val="center"/>
        </w:trPr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6071A" w14:textId="16324FD5" w:rsidR="00C07059" w:rsidRPr="00EC61F9" w:rsidRDefault="00C07059" w:rsidP="00EC61F9">
            <w:pPr>
              <w:tabs>
                <w:tab w:val="left" w:pos="851"/>
                <w:tab w:val="left" w:pos="1560"/>
              </w:tabs>
              <w:spacing w:before="240" w:after="0" w:line="360" w:lineRule="auto"/>
              <w:jc w:val="center"/>
              <w:rPr>
                <w:rFonts w:ascii="Source Sans Pro" w:hAnsi="Source Sans Pro"/>
                <w:b/>
                <w:bCs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 xml:space="preserve"> </w:t>
            </w:r>
            <w:r w:rsidRPr="00EC61F9">
              <w:rPr>
                <w:rStyle w:val="Tipodeletrapredefinidodopargrafo1"/>
                <w:rFonts w:ascii="Source Sans Pro" w:hAnsi="Source Sans Pro"/>
                <w:b/>
                <w:bCs/>
              </w:rPr>
              <w:t>Navios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B3D06" w14:textId="77777777" w:rsidR="00C07059" w:rsidRPr="00EC61F9" w:rsidRDefault="00C07059" w:rsidP="00EC61F9">
            <w:pPr>
              <w:spacing w:before="240" w:after="0" w:line="360" w:lineRule="auto"/>
              <w:jc w:val="center"/>
              <w:rPr>
                <w:rFonts w:ascii="Source Sans Pro" w:hAnsi="Source Sans Pro"/>
                <w:b/>
                <w:bCs/>
              </w:rPr>
            </w:pPr>
            <w:r w:rsidRPr="00EC61F9">
              <w:rPr>
                <w:rStyle w:val="Tipodeletrapredefinidodopargrafo1"/>
                <w:rFonts w:ascii="Source Sans Pro" w:hAnsi="Source Sans Pro"/>
                <w:b/>
                <w:bCs/>
              </w:rPr>
              <w:t>Prancha</w:t>
            </w:r>
          </w:p>
        </w:tc>
      </w:tr>
      <w:tr w:rsidR="00EC61F9" w:rsidRPr="00EC61F9" w14:paraId="605A6AFB" w14:textId="77777777" w:rsidTr="00B54C8D">
        <w:trPr>
          <w:trHeight w:val="300"/>
          <w:jc w:val="center"/>
        </w:trPr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18E8B" w14:textId="77777777" w:rsidR="00C07059" w:rsidRPr="00EC61F9" w:rsidRDefault="00C07059" w:rsidP="00EC61F9">
            <w:pPr>
              <w:tabs>
                <w:tab w:val="left" w:pos="851"/>
                <w:tab w:val="left" w:pos="1560"/>
              </w:tabs>
              <w:spacing w:before="240" w:after="0" w:line="360" w:lineRule="auto"/>
              <w:jc w:val="both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Navios com operação de óleos vegetais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64323" w14:textId="77777777" w:rsidR="00C07059" w:rsidRPr="00EC61F9" w:rsidRDefault="00C07059" w:rsidP="00EC61F9">
            <w:pPr>
              <w:spacing w:before="240" w:after="0" w:line="360" w:lineRule="auto"/>
              <w:jc w:val="center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8.000 t/dia</w:t>
            </w:r>
          </w:p>
        </w:tc>
      </w:tr>
      <w:tr w:rsidR="00EC61F9" w:rsidRPr="00EC61F9" w14:paraId="2FF33D02" w14:textId="77777777" w:rsidTr="00B54C8D">
        <w:trPr>
          <w:trHeight w:val="300"/>
          <w:jc w:val="center"/>
        </w:trPr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71427" w14:textId="77777777" w:rsidR="00C07059" w:rsidRPr="00EC61F9" w:rsidRDefault="00C07059" w:rsidP="00EC61F9">
            <w:pPr>
              <w:spacing w:before="240" w:after="0" w:line="360" w:lineRule="auto"/>
              <w:jc w:val="both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Navios com operação de GLP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BE08" w14:textId="77777777" w:rsidR="00C07059" w:rsidRPr="00EC61F9" w:rsidRDefault="00C07059" w:rsidP="00EC61F9">
            <w:pPr>
              <w:spacing w:before="240" w:after="0" w:line="360" w:lineRule="auto"/>
              <w:jc w:val="center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2.800 t/dia</w:t>
            </w:r>
          </w:p>
        </w:tc>
      </w:tr>
      <w:tr w:rsidR="00EC61F9" w:rsidRPr="00EC61F9" w14:paraId="4665ED95" w14:textId="77777777" w:rsidTr="00B54C8D">
        <w:trPr>
          <w:trHeight w:val="300"/>
          <w:jc w:val="center"/>
        </w:trPr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83232" w14:textId="77777777" w:rsidR="00C07059" w:rsidRPr="00EC61F9" w:rsidRDefault="00C07059" w:rsidP="00EC61F9">
            <w:pPr>
              <w:spacing w:before="240" w:after="0" w:line="360" w:lineRule="auto"/>
              <w:jc w:val="both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Navios com operação de outros derivados de petróleo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A720C" w14:textId="77777777" w:rsidR="00C07059" w:rsidRPr="00EC61F9" w:rsidRDefault="00C07059" w:rsidP="00EC61F9">
            <w:pPr>
              <w:spacing w:before="240" w:after="0" w:line="360" w:lineRule="auto"/>
              <w:jc w:val="center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15.000 t/dia</w:t>
            </w:r>
          </w:p>
        </w:tc>
      </w:tr>
      <w:tr w:rsidR="00EC61F9" w:rsidRPr="00EC61F9" w14:paraId="3D23A6EB" w14:textId="77777777" w:rsidTr="00B54C8D">
        <w:trPr>
          <w:trHeight w:val="300"/>
          <w:jc w:val="center"/>
        </w:trPr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41F2" w14:textId="37A9FDFC" w:rsidR="00C07059" w:rsidRPr="00EC61F9" w:rsidRDefault="00C07059" w:rsidP="00EC61F9">
            <w:pPr>
              <w:spacing w:before="240" w:after="0" w:line="360" w:lineRule="auto"/>
              <w:jc w:val="both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Navios com operação de álcool</w:t>
            </w:r>
            <w:r w:rsidR="00AD4AE4" w:rsidRPr="00EC61F9">
              <w:rPr>
                <w:rStyle w:val="Tipodeletrapredefinidodopargrafo1"/>
                <w:rFonts w:ascii="Source Sans Pro" w:hAnsi="Source Sans Pro"/>
              </w:rPr>
              <w:t>, seus derivados e metanol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6D26F" w14:textId="0F818963" w:rsidR="00C07059" w:rsidRPr="00EC61F9" w:rsidRDefault="00C07059" w:rsidP="00EC61F9">
            <w:pPr>
              <w:spacing w:before="240" w:after="0" w:line="360" w:lineRule="auto"/>
              <w:jc w:val="center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8.000 t/dia</w:t>
            </w:r>
          </w:p>
        </w:tc>
      </w:tr>
      <w:tr w:rsidR="00EC61F9" w:rsidRPr="00EC61F9" w14:paraId="680045DD" w14:textId="77777777" w:rsidTr="00B54C8D">
        <w:trPr>
          <w:trHeight w:val="300"/>
          <w:jc w:val="center"/>
        </w:trPr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60DC" w14:textId="77777777" w:rsidR="00C07059" w:rsidRPr="00EC61F9" w:rsidRDefault="00C07059" w:rsidP="00EC61F9">
            <w:pPr>
              <w:spacing w:before="240" w:after="0" w:line="360" w:lineRule="auto"/>
              <w:jc w:val="both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 xml:space="preserve">Navios com operação de produtos químicos e derivados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BA972" w14:textId="77777777" w:rsidR="00C07059" w:rsidRPr="00EC61F9" w:rsidRDefault="00C07059" w:rsidP="00EC61F9">
            <w:pPr>
              <w:spacing w:before="240" w:after="0" w:line="360" w:lineRule="auto"/>
              <w:jc w:val="center"/>
              <w:rPr>
                <w:rFonts w:ascii="Source Sans Pro" w:hAnsi="Source Sans Pro"/>
              </w:rPr>
            </w:pPr>
            <w:r w:rsidRPr="00EC61F9">
              <w:rPr>
                <w:rStyle w:val="Tipodeletrapredefinidodopargrafo1"/>
                <w:rFonts w:ascii="Source Sans Pro" w:hAnsi="Source Sans Pro"/>
              </w:rPr>
              <w:t>5.000 t/dia</w:t>
            </w:r>
          </w:p>
        </w:tc>
      </w:tr>
    </w:tbl>
    <w:p w14:paraId="3969B2C5" w14:textId="7374A9E7" w:rsidR="00EB2C4A" w:rsidRDefault="00EB2C4A" w:rsidP="000345DD"/>
    <w:sectPr w:rsidR="00EB2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13E6"/>
    <w:multiLevelType w:val="hybridMultilevel"/>
    <w:tmpl w:val="71A4081A"/>
    <w:lvl w:ilvl="0" w:tplc="74A2F4A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31F6"/>
    <w:multiLevelType w:val="multilevel"/>
    <w:tmpl w:val="78886244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970CA9"/>
    <w:multiLevelType w:val="hybridMultilevel"/>
    <w:tmpl w:val="0DCA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5A47"/>
    <w:multiLevelType w:val="multilevel"/>
    <w:tmpl w:val="D562BD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9"/>
    <w:rsid w:val="000345DD"/>
    <w:rsid w:val="0006528A"/>
    <w:rsid w:val="00325D73"/>
    <w:rsid w:val="003B569B"/>
    <w:rsid w:val="0052145A"/>
    <w:rsid w:val="00AD4AE4"/>
    <w:rsid w:val="00C07059"/>
    <w:rsid w:val="00C57B15"/>
    <w:rsid w:val="00EB2C4A"/>
    <w:rsid w:val="00EC61F9"/>
    <w:rsid w:val="00F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6013"/>
  <w15:chartTrackingRefBased/>
  <w15:docId w15:val="{7C54AB89-9210-4632-99C1-A666520E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59"/>
    <w:pPr>
      <w:suppressAutoHyphens/>
      <w:spacing w:line="252" w:lineRule="auto"/>
      <w:textAlignment w:val="baseline"/>
    </w:pPr>
    <w:rPr>
      <w:rFonts w:ascii="Calibri" w:eastAsia="Calibri" w:hAnsi="Calibri" w:cs="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  <w:qFormat/>
    <w:rsid w:val="00C07059"/>
  </w:style>
  <w:style w:type="paragraph" w:styleId="PargrafodaLista">
    <w:name w:val="List Paragraph"/>
    <w:basedOn w:val="Normal"/>
    <w:uiPriority w:val="34"/>
    <w:qFormat/>
    <w:rsid w:val="00C070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5385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Perdonsini Vieira</dc:creator>
  <cp:keywords/>
  <dc:description/>
  <cp:lastModifiedBy>Gabriel Perdonsini Vieira</cp:lastModifiedBy>
  <cp:revision>2</cp:revision>
  <dcterms:created xsi:type="dcterms:W3CDTF">2025-08-18T12:49:00Z</dcterms:created>
  <dcterms:modified xsi:type="dcterms:W3CDTF">2025-12-08T11:48:00Z</dcterms:modified>
</cp:coreProperties>
</file>